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ПОЯСНИТЕЛЬНАЯ ЗАПИСКА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к проекту постановления администрации  Павинского муниципального округа Костромской области «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Порядок предоставления и распределения субсидии на возмещение части затрат на приобретение горюче-смазочных материалов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населенные пункты Павинского муниципального округа Костромской области</w:t>
      </w:r>
      <w:r>
        <w:rPr>
          <w:rFonts w:cs="Times New Roman" w:ascii="Times New Roman" w:hAnsi="Times New Roman"/>
          <w:sz w:val="24"/>
          <w:szCs w:val="24"/>
        </w:rPr>
        <w:t>»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Обоснование необходимости принятия проекта правового акта.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Проект постановления администрации  Павинского муниципального округа Костромской области «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Порядок предоставления и распределения субсидии на возмещение части затрат на приобретение горюче-смазочных материалов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населенные пункты Павинского муниципального округа Костромской области</w:t>
      </w:r>
      <w:r>
        <w:rPr>
          <w:rFonts w:cs="Times New Roman" w:ascii="Times New Roman" w:hAnsi="Times New Roman"/>
          <w:sz w:val="24"/>
          <w:szCs w:val="24"/>
        </w:rPr>
        <w:t>» разработан в связи с изменениями, внесенными в постановление а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дминистрации Костромской области от 03 июля 2023года №264-а «Об утверждении государственной программы Костромской области «Экономическое развитие Костромской области» (в редакции постановления администрации Костромской области от 28.08.2023г №372-а), предусматривающее предоставление субсидий из областного бюджета бюджетам муниципальных образований Костромской области на софинансирование муниципальных программ в области развития мобильной торговли в малонаселенных и труднодоступных населенных пунктах.</w:t>
      </w:r>
    </w:p>
    <w:p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Общая характеристика проекта правового акта.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Проектом постановления администрации  Павинского муниципального округа Костромской области «</w:t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ru-RU"/>
        </w:rPr>
        <w:t>Порядок предоставления и распределения субсидии на возмещение части затрат на приобретение горюче-смазочных материалов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населенные пункты Павинского муниципального округа Костромской области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eastAsia="Calibri" w:cs="Times New Roman" w:ascii="Times New Roman" w:hAnsi="Times New Roman"/>
          <w:sz w:val="24"/>
          <w:szCs w:val="24"/>
        </w:rPr>
        <w:t>позволяет предоставлять субсидии на возмещение части затрат за приобретение горюче-смазочных материалов организациям любых форм собственности и индивидуальным предпринимателям для обеспечения жителей малонаселенных и труднодоступных населенных пунктов Павинского муниципального о</w:t>
      </w:r>
      <w:r>
        <w:rPr>
          <w:rFonts w:eastAsia="Calibri" w:cs="Times New Roman" w:ascii="Times New Roman" w:hAnsi="Times New Roman"/>
          <w:sz w:val="24"/>
          <w:szCs w:val="24"/>
        </w:rPr>
        <w:t>к</w:t>
      </w:r>
      <w:r>
        <w:rPr>
          <w:rFonts w:eastAsia="Calibri" w:cs="Times New Roman" w:ascii="Times New Roman" w:hAnsi="Times New Roman"/>
          <w:sz w:val="24"/>
          <w:szCs w:val="24"/>
        </w:rPr>
        <w:t>руга Костромской области услугами торговли посредством мобильных торговых объектов, осуществляющих доставку и реализацию продовольственных товаров.</w:t>
      </w:r>
    </w:p>
    <w:p>
      <w:pPr>
        <w:pStyle w:val="NoSpacing"/>
        <w:ind w:left="72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3.Возможные последствия принятия проекта правового акта.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проводимого правового регулирования  будут затронуты интересы: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субъекты предпринимательской деятельности в лице юридических лиц и ли индивидуальные предприниматели;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органа местного самоуправления.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Возможные варианты достижения поставленной цели: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невмешательство (статус-кво);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принятие рассматриваемого проекта постановления.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Прогнозируемые выгоды и издержки.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определения выгод и возможных издержек проведен сравнительный анализ рассматриваемых вариантов достижения поставленной цели: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Невмешательство (статус-кво):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60"/>
        <w:gridCol w:w="3260"/>
        <w:gridCol w:w="3260"/>
      </w:tblGrid>
      <w:tr>
        <w:trPr/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Целевая группа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Издержки и риски</w:t>
            </w:r>
          </w:p>
        </w:tc>
      </w:tr>
      <w:tr>
        <w:trPr/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субъекты предпринимательской деятельности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 возможность получения субсидии</w:t>
            </w:r>
          </w:p>
        </w:tc>
      </w:tr>
      <w:tr>
        <w:trPr>
          <w:trHeight w:val="1233" w:hRule="atLeast"/>
        </w:trPr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органа местного самоуправления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возможности участвовать в конкурсе на получение субсидии из областного бюджета на софинансирование мобильной торговли в малонаселенных и труднодоступных населенных пунктах</w:t>
            </w:r>
          </w:p>
        </w:tc>
      </w:tr>
    </w:tbl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результаты использования первого варианта — негативные.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Выгоды, издержки и риски от реализации второго варианта «Принятие рассматриваемого проекта постановления»: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60"/>
        <w:gridCol w:w="3260"/>
        <w:gridCol w:w="3260"/>
      </w:tblGrid>
      <w:tr>
        <w:trPr/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Целевая группа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Издержки и риски</w:t>
            </w:r>
          </w:p>
        </w:tc>
      </w:tr>
      <w:tr>
        <w:trPr/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субъекты предпринимательской деятельности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финансовой поддержки на возмещение части затрат за приобретение горюче-смазочных материалов для обеспечения жителей малонаселенных и труднодоступных населенных пунктов Павинского муниципального округа Костромской области услугами торговли посредством мобильных торговых объектов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/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органа местного самоуправления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Возможность привлечения денежных средств из областного бюджета на софинансирование мобильной торговли в малонаселенных и труднодоступных населенных пунктах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>
      <w:pPr>
        <w:pStyle w:val="NoSpacing"/>
        <w:widowControl/>
        <w:bidi w:val="0"/>
        <w:spacing w:lineRule="auto" w:line="240" w:before="0" w:after="0"/>
        <w:ind w:left="0" w:right="0" w:hanging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 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Возможные негативные последствия от введения правового регулирования для развития предпринимательской деятельности не установлены, поскольку отсутствуют риски для субъектов предпринимательской деятельности.</w:t>
      </w:r>
    </w:p>
    <w:p>
      <w:pPr>
        <w:pStyle w:val="NoSpacing"/>
        <w:widowControl/>
        <w:bidi w:val="0"/>
        <w:spacing w:lineRule="auto" w:line="240" w:before="0" w:after="0"/>
        <w:ind w:left="0" w:right="0" w:hanging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  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деятельности и бюджета Павинского муниципального округа, не выявлены.</w:t>
      </w:r>
    </w:p>
    <w:p>
      <w:pPr>
        <w:pStyle w:val="NoSpacing"/>
        <w:widowControl/>
        <w:bidi w:val="0"/>
        <w:spacing w:lineRule="auto" w:line="240" w:before="0" w:after="0"/>
        <w:ind w:left="0" w:right="0" w:hanging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Основные результаты использования второго варианта: позитивные.</w:t>
      </w:r>
    </w:p>
    <w:p>
      <w:pPr>
        <w:pStyle w:val="NoSpacing"/>
        <w:ind w:left="927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</w:t>
      </w:r>
      <w:r>
        <w:rPr>
          <w:rFonts w:cs="Times New Roman" w:ascii="Times New Roman" w:hAnsi="Times New Roman"/>
          <w:sz w:val="24"/>
          <w:szCs w:val="24"/>
        </w:rPr>
        <w:t>Проект Постановления подлежит процедуре оценки регулирующего воздействия.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 Поручением губернатора Костромской области от 14 марта 2022 года №СС-11-13  проведение процедуры оценки регулирующего воздействия проводится в упрощенном порядке, без проведения публичных консультаций.</w:t>
      </w:r>
    </w:p>
    <w:p>
      <w:pPr>
        <w:pStyle w:val="NoSpacing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Заместитель председателя комитета муниципального                                                                                    имущества и экономического развития администрации </w:t>
      </w:r>
    </w:p>
    <w:p>
      <w:pPr>
        <w:pStyle w:val="NoSpacing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Павинского муниципального округа Костромской области:                                         Яркова Т.А.                                                  </w:t>
      </w:r>
    </w:p>
    <w:sectPr>
      <w:type w:val="nextPage"/>
      <w:pgSz w:w="11906" w:h="16838"/>
      <w:pgMar w:left="1276" w:right="850" w:gutter="0" w:header="0" w:top="567" w:footer="0" w:bottom="709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b4d5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36ed3"/>
    <w:rPr>
      <w:b/>
      <w:bCs/>
    </w:rPr>
  </w:style>
  <w:style w:type="character" w:styleId="Style14">
    <w:name w:val="Hyperlink"/>
    <w:basedOn w:val="DefaultParagraphFont"/>
    <w:uiPriority w:val="99"/>
    <w:semiHidden/>
    <w:unhideWhenUsed/>
    <w:rsid w:val="00aa080a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c0687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aa080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rmal" w:customStyle="1">
    <w:name w:val="consplusnormal"/>
    <w:basedOn w:val="Normal"/>
    <w:qFormat/>
    <w:rsid w:val="00aa080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51078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Application>LibreOffice/7.4.3.2$Windows_X86_64 LibreOffice_project/1048a8393ae2eeec98dff31b5c133c5f1d08b890</Application>
  <AppVersion>15.0000</AppVersion>
  <Pages>2</Pages>
  <Words>544</Words>
  <Characters>4688</Characters>
  <CharactersWithSpaces>5521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2021-09-21T06:40:00Z</dcterms:created>
  <dc:creator>Татьяна</dc:creator>
  <dc:description/>
  <dc:language>ru-RU</dc:language>
  <cp:lastModifiedBy/>
  <cp:lastPrinted>2022-03-30T11:06:00Z</cp:lastPrinted>
  <dcterms:modified xsi:type="dcterms:W3CDTF">2024-06-20T09:09:43Z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